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(наименование органа, осуществляющего функции и полномочия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учредителя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ОТЧЕТ О ВЫПОЛНЕНИИ ГОСУДАРСТВЕННОГО ЗАДАНИЯ № 1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2023 год и на плановый период 2024 и 2025 годов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 10.07.2023</w:t>
            </w:r>
          </w:p>
        </w:tc>
      </w:tr>
      <w:tr>
        <w:trPr>
          <w:trHeight w:hRule="atLeast"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0506501</w:t>
            </w:r>
          </w:p>
        </w:tc>
      </w:tr>
      <w:tr>
        <w:trPr>
          <w:trHeight w:hRule="atLeast"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31.07.2023</w:t>
            </w:r>
          </w:p>
        </w:tc>
      </w:tr>
      <w:tr>
        <w:trPr>
          <w:trHeight w:hRule="atLeast"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Государственное бюджетное учреждение Брянской области "Комплексный центр социального обслуживания населения Гордеевского района"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8"/>
          <w:szCs w:val="8"/>
        </w:rPr>
      </w:pPr>
      <w:r>
        <w:drawing>
          <wp:inline xmlns:wp="http://schemas.openxmlformats.org/drawingml/2006/wordprocessingDrawing">
            <wp:extent cx="2639060" cy="784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7842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8"/>
          <w:szCs w:val="8"/>
        </w:rPr>
        <w:br w:type="textWrapping"/>
      </w:r>
      <w:r>
        <w:drawing>
          <wp:inline xmlns:wp="http://schemas.openxmlformats.org/drawingml/2006/wordprocessingDrawing">
            <wp:extent cx="2639060" cy="784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7842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88.10</w:t>
            </w:r>
          </w:p>
        </w:tc>
      </w:tr>
      <w:tr>
        <w:trPr>
          <w:trHeight w:hRule="atLeast" w:val="315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</w:t>
            </w:r>
          </w:p>
        </w:tc>
      </w:tr>
    </w:tbl>
    <w:p>
      <w:pPr>
        <w:rPr>
          <w:rFonts w:ascii="Arial" w:hAnsi="Arial" w:cs="Arial"/>
          <w:sz w:val="8"/>
          <w:szCs w:val="8"/>
        </w:rPr>
      </w:pPr>
    </w:p>
    <w:p>
      <w:pPr>
        <w:pageBreakBefore w:val="1"/>
        <w:rPr>
          <w:rFonts w:ascii="Arial" w:hAnsi="Arial" w:cs="Arial"/>
          <w:sz w:val="8"/>
          <w:szCs w:val="8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textWrapping"/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форме на дому</w:t>
            </w:r>
          </w:p>
        </w:tc>
        <w:tc>
          <w:tcPr>
            <w:tcW w:w="85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hRule="atLeast" w:val="319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880000О.99.0.АЭ22АА10000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880000О.99.0.АЭ22АА10000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880000О.99.0.АЭ22АА10000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880000О.99.0.АЭ22АА10000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880000О.99.0.АЭ22АА10000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880000О.99.0.АЭ22АА10000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880000О.99.0.АЭ22АА10000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социально-бытовых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форме на дому</w:t>
            </w:r>
          </w:p>
        </w:tc>
        <w:tc>
          <w:tcPr>
            <w:tcW w:w="85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hRule="atLeast" w:val="319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880000О.99.0.АЭ22АА19000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социально-медицинских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</w:t>
            </w: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форме на дому</w:t>
            </w:r>
          </w:p>
        </w:tc>
        <w:tc>
          <w:tcPr>
            <w:tcW w:w="85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hRule="atLeast" w:val="319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880000О.99.0.АЭ22АА55000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880000О.99.0.АЭ22АА55000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880000О.99.0.АЭ22АА55000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880000О.99.0.АЭ22АА55000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880000О.99.0.АЭ22АА55000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880000О.99.0.АЭ22АА55000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880000О.99.0.АЭ22АА55000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3(Предоставление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85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hRule="atLeast" w:val="319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870000О.99.0.АЭ25АА59000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наличии ребенка или детей (в том числе находящихся под опекой, попечительством), испытывающих трудности в социальной адаптации)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870000О.99.0.АЭ25АА59000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наличии ребенка или детей (в том числе находящихся под опекой, попечительством), испытывающих трудности в социальной адаптации)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870000О.99.0.АЭ25АА59000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наличии ребенка или детей (в том числе находящихся под опекой, попечительством), испытывающих трудности в социальной адаптации)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870000О.99.0.АЭ25АА59000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наличии ребенка или детей (в том числе находящихся под опекой, попечительством), испытывающих трудности в социальной адаптации)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870000О.99.0.АЭ25АА59000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наличии ребенка или детей (в том числе находящихся под опекой, попечительством), испытывающих трудности в социальной адаптации)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870000О.99.0.АЭ25АА59000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наличии ребенка или детей (в том числе находящихся под опекой, попечительством), испытывающих трудности в социальной адаптации)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870000О.99.0.АЭ25АА59000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наличии ребенка или детей (в том числе находящихся под опекой, попечительством), испытывающих трудности в социальной адаптации)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полустационарной форме</w:t>
            </w:r>
          </w:p>
        </w:tc>
        <w:tc>
          <w:tcPr>
            <w:tcW w:w="85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при отсутствии работы и средств к существованию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hRule="atLeast" w:val="319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870000О.99.0.АЭ25АА61000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отсутствии работы и средств к существованию)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870000О.99.0.АЭ25АА61000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отсутствии работы и средств к существованию)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870000О.99.0.АЭ25АА61000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отсутствии работы и средств к существованию)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870000О.99.0.АЭ25АА61000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отсутствии работы и средств к существованию)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870000О.99.0.АЭ25АА61000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отсутствии работы и средств к существованию)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870000О.99.0.АЭ25АА61000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отсутствии работы и средств к существованию)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870000О.99.0.АЭ25АА61000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4(Гражданин при отсутствии работы и средств к существованию)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2(Предоставление социально-правовых услуг)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182,00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</w:t>
            </w: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Организация доставки лиц старше 65 лет, проживающих в сельской местности, в территориальные медицинские организации для проведения профессиональных медицинских осмотров, включая диспансеризацию, и дополнительных медицинских скринингов на выявление отдельных неинфекционных социально значимых заболеваний</w:t>
            </w:r>
          </w:p>
        </w:tc>
        <w:tc>
          <w:tcPr>
            <w:tcW w:w="85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  <w:tc>
          <w:tcPr>
            <w:tcW w:w="823" w:type="dxa"/>
            <w:gridSpan w:val="8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>
        <w:trPr>
          <w:trHeight w:hRule="atLeast" w:val="319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843000.Р.36.0.00000001000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содержания (региональные)(Доставка лиц старше 65 лет, проживающих в сельской местности, в территориальные медицинские организации)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условия (региональные)(Очно)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Степень неудовлетворенности потребителей качеством оказанной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843000.Р.36.0.00000001000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содержания (региональные)(Доставка лиц старше 65 лет, проживающих в сельской местности, в территориальные медицинские организации)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условия (региональные)(Очно)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843000.Р.36.0.00000001000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содержания (региональные)(Доставка лиц старше 65 лет, проживающих в сельской местности, в территориальные медицинские организации)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условия (региональные)(Очно)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843000.Р.36.0.00000001000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содержания (региональные)(Доставка лиц старше 65 лет, проживающих в сельской местности, в территориальные медицинские организации)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условия (региональные)(Очно)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помощи)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Сведения о фактическом достижении показателей, характеризующих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8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96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70" w:type="dxa"/>
            <w:gridSpan w:val="3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23" w:type="dxa"/>
            <w:gridSpan w:val="7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 государственной услуги</w:t>
            </w:r>
          </w:p>
        </w:tc>
        <w:tc>
          <w:tcPr>
            <w:tcW w:w="98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Средний размер платы (цена, тариф)</w:t>
            </w: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6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0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70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7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23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4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за отчетный период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8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</w:t>
            </w:r>
          </w:p>
        </w:tc>
        <w:tc>
          <w:tcPr>
            <w:tcW w:w="815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отклонение,превышающее допустимое (возможное) значение</w:t>
            </w:r>
          </w:p>
        </w:tc>
        <w:tc>
          <w:tcPr>
            <w:tcW w:w="854" w:type="dxa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причины отклонения</w:t>
            </w: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>
        <w:trPr>
          <w:trHeight w:hRule="atLeast" w:val="288"/>
        </w:trPr>
        <w:tc>
          <w:tcPr>
            <w:tcW w:w="141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843000.Р.36.0.00000001000</w:t>
            </w:r>
          </w:p>
        </w:tc>
        <w:tc>
          <w:tcPr>
            <w:tcW w:w="9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содержания (региональные)(Доставка лиц старше 65 лет, проживающих в сельской местности, в территориальные медицинские организации)</w:t>
            </w:r>
          </w:p>
        </w:tc>
        <w:tc>
          <w:tcPr>
            <w:tcW w:w="9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условия (региональные)(Очно)</w:t>
            </w:r>
          </w:p>
        </w:tc>
        <w:tc>
          <w:tcPr>
            <w:tcW w:w="100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  <w:tc>
          <w:tcPr>
            <w:tcW w:w="83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9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2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  <w:sz w:val="8"/>
          <w:szCs w:val="8"/>
        </w:rPr>
      </w:pPr>
    </w:p>
    <w:p>
      <w:pPr>
        <w:pageBreakBefore w:val="1"/>
        <w:rPr>
          <w:rFonts w:ascii="Arial" w:hAnsi="Arial" w:cs="Arial"/>
          <w:sz w:val="8"/>
          <w:szCs w:val="8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textWrapping"/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1416" w:type="dxa"/>
            <w:gridSpan w:val="17"/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B0C4DE"/>
              </w:rPr>
              <w:t>Часть 2. Сведения о выполняемых работах</w:t>
            </w:r>
          </w:p>
        </w:tc>
      </w:tr>
      <w:tr>
        <w:trPr>
          <w:trHeight w:hRule="atLeast"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 xml:space="preserve">Раздел </w:t>
            </w: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работы: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базовому(отраслевому) перечню или региональному перечню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gridSpan w:val="4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работы: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75"/>
        </w:trPr>
        <w:tc>
          <w:tcPr>
            <w:tcW w:w="1416" w:type="dxa"/>
            <w:gridSpan w:val="11"/>
            <w:tcBorders>
              <w:bottom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  <w:sz w:val="8"/>
          <w:szCs w:val="8"/>
        </w:rPr>
      </w:pPr>
    </w:p>
    <w:p>
      <w:pPr>
        <w:pageBreakBefore w:val="1"/>
        <w:rPr>
          <w:rFonts w:ascii="Arial" w:hAnsi="Arial" w:cs="Arial"/>
          <w:sz w:val="8"/>
          <w:szCs w:val="8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textWrapping"/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1. Финансовое обеспечение выполнения государственного задания:</w:t>
            </w:r>
          </w:p>
        </w:tc>
      </w:tr>
      <w:tr>
        <w:trPr>
          <w:trHeight w:hRule="atLeast" w:val="283"/>
          <w:tblHeader/>
        </w:trPr>
        <w:tc>
          <w:tcPr>
            <w:tcW w:w="567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 об использовании субсидии на выполнение государственного задания</w:t>
            </w:r>
          </w:p>
        </w:tc>
      </w:tr>
      <w:tr>
        <w:trPr>
          <w:trHeight w:hRule="atLeast" w:val="545"/>
          <w:tblHeader/>
        </w:trPr>
        <w:tc>
          <w:tcPr>
            <w:tcW w:w="56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утвержденное в государоственном задании на текущий финансовый год</w:t>
            </w:r>
          </w:p>
        </w:tc>
        <w:tc>
          <w:tcPr>
            <w:tcW w:w="1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 перечислено субсидий с начала текущего финансового года</w:t>
            </w:r>
          </w:p>
        </w:tc>
        <w:tc>
          <w:tcPr>
            <w:tcW w:w="198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1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к перечислению</w:t>
            </w:r>
          </w:p>
        </w:tc>
      </w:tr>
      <w:tr>
        <w:trPr>
          <w:trHeight w:hRule="atLeast" w:val="269"/>
          <w:tblHeader/>
        </w:trPr>
        <w:tc>
          <w:tcPr>
            <w:tcW w:w="56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hRule="atLeast" w:val="285"/>
        </w:trPr>
        <w:tc>
          <w:tcPr>
            <w:tcW w:w="567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821.1002.2140210800.611.7001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11 872 796,00</w:t>
            </w:r>
          </w:p>
        </w:tc>
        <w:tc>
          <w:tcPr>
            <w:tcW w:w="196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6 233 220,00</w:t>
            </w:r>
          </w:p>
        </w:tc>
        <w:tc>
          <w:tcPr>
            <w:tcW w:w="198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989 400,00</w:t>
            </w:r>
          </w:p>
        </w:tc>
        <w:tc>
          <w:tcPr>
            <w:tcW w:w="197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296 820,00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692 580,00</w:t>
            </w:r>
          </w:p>
        </w:tc>
      </w:tr>
    </w:tbl>
    <w:p>
      <w:pPr>
        <w:rPr>
          <w:rFonts w:ascii="Arial" w:hAnsi="Arial" w:cs="Arial"/>
          <w:sz w:val="8"/>
          <w:szCs w:val="8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8"/>
        </w:trPr>
        <w:tc>
          <w:tcPr>
            <w:tcW w:w="50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Учредитель:</w:t>
            </w:r>
          </w:p>
        </w:tc>
        <w:tc>
          <w:tcPr>
            <w:tcW w:w="56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Учреждение:</w:t>
            </w:r>
          </w:p>
        </w:tc>
      </w:tr>
      <w:tr>
        <w:trPr>
          <w:trHeight w:hRule="atLeast" w:val="288"/>
        </w:trPr>
        <w:tc>
          <w:tcPr>
            <w:tcW w:w="508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Подписано ЭП</w:t>
            </w:r>
          </w:p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Петров Евгений Александрович</w:t>
            </w:r>
          </w:p>
        </w:tc>
        <w:tc>
          <w:tcPr>
            <w:tcW w:w="56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Подписано ЭП</w:t>
            </w:r>
          </w:p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Дубинин Николай Александрович</w:t>
            </w:r>
          </w:p>
        </w:tc>
      </w:tr>
      <w:tr>
        <w:trPr>
          <w:trHeight w:hRule="atLeast"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  <w:sz w:val="8"/>
          <w:szCs w:val="8"/>
        </w:rPr>
      </w:pPr>
    </w:p>
    <w:sectPr>
      <w:type w:val="nextPage"/>
      <w:pgSz w:w="16901" w:h="11950" w:code="0" w:orient="landscape"/>
      <w:pgMar w:left="567" w:right="567" w:top="567" w:bottom="567" w:header="708" w:footer="708" w:gutter="0"/>
      <w:pgNumType w:start="1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Keysystems.DWH2.ReportDesigner</dc:creator>
  <dcterms:created xsi:type="dcterms:W3CDTF">2023-08-14T08:57:48Z</dcterms:created>
  <dcterms:modified xsi:type="dcterms:W3CDTF">2023-08-14T08:57:49Z</dcterms:modified>
  <cp:revision>1</cp:revision>
  <dc:subject>РЎРѕР·РґР°РЅ: keysystems 30.10.2017 11:31:15; РР·РјРµРЅРµРЅ: kuleshov 07.04.2022 14:36:26</dc:subject>
</cp:coreProperties>
</file>